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D3D47" w14:textId="77777777" w:rsidR="00FC69F7" w:rsidRDefault="00FC69F7" w:rsidP="00FC69F7">
      <w:pPr>
        <w:pStyle w:val="Sous-titre"/>
        <w:spacing w:line="276" w:lineRule="auto"/>
        <w:ind w:firstLine="0"/>
        <w:jc w:val="left"/>
        <w:rPr>
          <w:rFonts w:ascii="Times New Roman" w:eastAsia="Times New Roman" w:hAnsi="Times New Roman" w:cs="Times New Roman"/>
          <w:sz w:val="24"/>
          <w:szCs w:val="24"/>
        </w:rPr>
      </w:pPr>
      <w:bookmarkStart w:id="0" w:name="_4ajxjmy0zqbv" w:colFirst="0" w:colLast="0"/>
      <w:bookmarkStart w:id="1" w:name="_GoBack"/>
      <w:bookmarkEnd w:id="0"/>
      <w:bookmarkEnd w:id="1"/>
      <w:r>
        <w:rPr>
          <w:rFonts w:ascii="Times New Roman" w:eastAsia="Times New Roman" w:hAnsi="Times New Roman" w:cs="Times New Roman"/>
          <w:sz w:val="24"/>
          <w:szCs w:val="24"/>
        </w:rPr>
        <w:t>Victor Fririon, Hendrik Davi, Sylvie Oddou-Muratorio, Gauthier Ligot, François Lefèvre</w:t>
      </w:r>
    </w:p>
    <w:p w14:paraId="01849F25" w14:textId="77777777" w:rsidR="00FC69F7" w:rsidRDefault="00FC69F7" w:rsidP="00FC69F7">
      <w:pPr>
        <w:spacing w:line="276" w:lineRule="auto"/>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 Thinning Foster Forest Genetic Adaptation to Drought? A Demo-Genetic Modelling Approach with Disturbance Regimes</w:t>
      </w:r>
    </w:p>
    <w:p w14:paraId="57D9F374" w14:textId="77777777" w:rsidR="00FC69F7" w:rsidRDefault="00FC69F7" w:rsidP="00FC69F7">
      <w:pPr>
        <w:spacing w:line="276" w:lineRule="auto"/>
        <w:ind w:firstLine="0"/>
        <w:jc w:val="left"/>
        <w:rPr>
          <w:rFonts w:ascii="Times New Roman" w:eastAsia="Times New Roman" w:hAnsi="Times New Roman" w:cs="Times New Roman"/>
          <w:i/>
          <w:sz w:val="24"/>
          <w:szCs w:val="24"/>
        </w:rPr>
      </w:pPr>
    </w:p>
    <w:p w14:paraId="5F5D9F01" w14:textId="77777777" w:rsidR="00FC69F7" w:rsidRDefault="00FC69F7" w:rsidP="004C738B">
      <w:pPr>
        <w:pStyle w:val="Titre1"/>
        <w:spacing w:line="276" w:lineRule="auto"/>
        <w:ind w:firstLine="0"/>
        <w:rPr>
          <w:rFonts w:ascii="Times New Roman" w:eastAsia="Times New Roman" w:hAnsi="Times New Roman" w:cs="Times New Roman"/>
        </w:rPr>
      </w:pPr>
      <w:bookmarkStart w:id="2" w:name="_cymodpeintc6" w:colFirst="0" w:colLast="0"/>
      <w:bookmarkEnd w:id="2"/>
      <w:r>
        <w:rPr>
          <w:rFonts w:ascii="Times New Roman" w:eastAsia="Times New Roman" w:hAnsi="Times New Roman" w:cs="Times New Roman"/>
        </w:rPr>
        <w:t>Appendix S2: Calibration of three drought stress regime generators</w:t>
      </w:r>
    </w:p>
    <w:p w14:paraId="25A9C3F4" w14:textId="77777777" w:rsidR="00FC69F7" w:rsidRDefault="00FC69F7" w:rsidP="00FC69F7">
      <w:pPr>
        <w:spacing w:line="276" w:lineRule="auto"/>
        <w:ind w:left="-850" w:firstLine="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fr-FR"/>
        </w:rPr>
        <w:drawing>
          <wp:inline distT="114300" distB="114300" distL="114300" distR="114300" wp14:anchorId="5EF3AFBE" wp14:editId="45AA0076">
            <wp:extent cx="6789420" cy="2021208"/>
            <wp:effectExtent l="0" t="0" r="0" b="0"/>
            <wp:docPr id="2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
                    <a:srcRect/>
                    <a:stretch>
                      <a:fillRect/>
                    </a:stretch>
                  </pic:blipFill>
                  <pic:spPr>
                    <a:xfrm>
                      <a:off x="0" y="0"/>
                      <a:ext cx="6789420" cy="2021208"/>
                    </a:xfrm>
                    <a:prstGeom prst="rect">
                      <a:avLst/>
                    </a:prstGeom>
                    <a:ln/>
                  </pic:spPr>
                </pic:pic>
              </a:graphicData>
            </a:graphic>
          </wp:inline>
        </w:drawing>
      </w:r>
    </w:p>
    <w:p w14:paraId="7CCF3244" w14:textId="77777777" w:rsidR="00FC69F7" w:rsidRDefault="00FC69F7" w:rsidP="00FC69F7">
      <w:pPr>
        <w:spacing w:line="276" w:lineRule="auto"/>
        <w:ind w:firstLine="0"/>
        <w:rPr>
          <w:rFonts w:ascii="Times New Roman" w:eastAsia="Times New Roman" w:hAnsi="Times New Roman" w:cs="Times New Roman"/>
        </w:rPr>
      </w:pPr>
      <w:r>
        <w:rPr>
          <w:rFonts w:ascii="Times New Roman" w:eastAsia="Times New Roman" w:hAnsi="Times New Roman" w:cs="Times New Roman"/>
          <w:b/>
        </w:rPr>
        <w:t>Figure S1.</w:t>
      </w:r>
      <w:r>
        <w:rPr>
          <w:rFonts w:ascii="Times New Roman" w:eastAsia="Times New Roman" w:hAnsi="Times New Roman" w:cs="Times New Roman"/>
        </w:rPr>
        <w:t xml:space="preserve"> Average </w:t>
      </w:r>
      <w:proofErr w:type="spellStart"/>
      <w:r>
        <w:rPr>
          <w:rFonts w:ascii="Times New Roman" w:eastAsia="Times New Roman" w:hAnsi="Times New Roman" w:cs="Times New Roman"/>
          <w:i/>
        </w:rPr>
        <w:t>stressLevel</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over all years and LAI values within the European range of Douglas-fir: a) density plot and b) geographical distribution. The European range of Douglas-fir spans 698 raster cells, each with a resolution of 0.5° by 0.5°. The range of average </w:t>
      </w:r>
      <w:r>
        <w:rPr>
          <w:rFonts w:ascii="Times New Roman" w:eastAsia="Times New Roman" w:hAnsi="Times New Roman" w:cs="Times New Roman"/>
          <w:i/>
        </w:rPr>
        <w:t xml:space="preserve">stressLevel </w:t>
      </w:r>
      <w:r>
        <w:rPr>
          <w:rFonts w:ascii="Times New Roman" w:eastAsia="Times New Roman" w:hAnsi="Times New Roman" w:cs="Times New Roman"/>
        </w:rPr>
        <w:t xml:space="preserve">was wide, ranging from 0 to 234 MPa, with a median value of 11 MPa. It is noteworthy that, as a sum of daily soil water potential, </w:t>
      </w:r>
      <w:r>
        <w:rPr>
          <w:rFonts w:ascii="Times New Roman" w:eastAsia="Times New Roman" w:hAnsi="Times New Roman" w:cs="Times New Roman"/>
          <w:i/>
        </w:rPr>
        <w:t xml:space="preserve">stressLevel </w:t>
      </w:r>
      <w:r>
        <w:rPr>
          <w:rFonts w:ascii="Times New Roman" w:eastAsia="Times New Roman" w:hAnsi="Times New Roman" w:cs="Times New Roman"/>
        </w:rPr>
        <w:t xml:space="preserve">is inherently negative. However, constrained by the Gamma distribution framework, we used the absolute </w:t>
      </w:r>
      <w:r>
        <w:rPr>
          <w:rFonts w:ascii="Times New Roman" w:eastAsia="Times New Roman" w:hAnsi="Times New Roman" w:cs="Times New Roman"/>
          <w:i/>
        </w:rPr>
        <w:t xml:space="preserve">stressLevel </w:t>
      </w:r>
      <w:r>
        <w:rPr>
          <w:rFonts w:ascii="Times New Roman" w:eastAsia="Times New Roman" w:hAnsi="Times New Roman" w:cs="Times New Roman"/>
        </w:rPr>
        <w:t xml:space="preserve">values. This approach also makes the most intuitive interpretation: a higher positive </w:t>
      </w:r>
      <w:r>
        <w:rPr>
          <w:rFonts w:ascii="Times New Roman" w:eastAsia="Times New Roman" w:hAnsi="Times New Roman" w:cs="Times New Roman"/>
          <w:i/>
        </w:rPr>
        <w:t xml:space="preserve">stressLevel </w:t>
      </w:r>
      <w:r>
        <w:rPr>
          <w:rFonts w:ascii="Times New Roman" w:eastAsia="Times New Roman" w:hAnsi="Times New Roman" w:cs="Times New Roman"/>
        </w:rPr>
        <w:t xml:space="preserve">value corresponds to higher drought stress. Douglas-fir populations were mainly present in France, Germany, the British Isles, Italy (specifically in the Apennines), the Czech Republic, Belgium, the Netherlands and Denmark. Marginal populations were found as far as the Highlands of Scotland, the slopes of Etna in Sicily, the mountains of Portugal, the plains of Poland, and the Carpathians. Raster cells with the highest average </w:t>
      </w:r>
      <w:r>
        <w:rPr>
          <w:rFonts w:ascii="Times New Roman" w:eastAsia="Times New Roman" w:hAnsi="Times New Roman" w:cs="Times New Roman"/>
          <w:i/>
        </w:rPr>
        <w:t xml:space="preserve">stressLevel </w:t>
      </w:r>
      <w:r>
        <w:rPr>
          <w:rFonts w:ascii="Times New Roman" w:eastAsia="Times New Roman" w:hAnsi="Times New Roman" w:cs="Times New Roman"/>
        </w:rPr>
        <w:t xml:space="preserve">were predominantly located in Southern Europe, while the average </w:t>
      </w:r>
      <w:r>
        <w:rPr>
          <w:rFonts w:ascii="Times New Roman" w:eastAsia="Times New Roman" w:hAnsi="Times New Roman" w:cs="Times New Roman"/>
          <w:i/>
        </w:rPr>
        <w:t xml:space="preserve">stressLevel </w:t>
      </w:r>
      <w:r>
        <w:rPr>
          <w:rFonts w:ascii="Times New Roman" w:eastAsia="Times New Roman" w:hAnsi="Times New Roman" w:cs="Times New Roman"/>
        </w:rPr>
        <w:t xml:space="preserve">remained relatively low, or zero, in the rest of Europe. </w:t>
      </w:r>
    </w:p>
    <w:p w14:paraId="33C8579C" w14:textId="77777777" w:rsidR="00FC69F7" w:rsidRDefault="00FC69F7" w:rsidP="00FC69F7">
      <w:pPr>
        <w:spacing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Based on the average </w:t>
      </w:r>
      <w:r>
        <w:rPr>
          <w:rFonts w:ascii="Times New Roman" w:eastAsia="Times New Roman" w:hAnsi="Times New Roman" w:cs="Times New Roman"/>
          <w:i/>
        </w:rPr>
        <w:t>stressLevel</w:t>
      </w:r>
      <w:r>
        <w:rPr>
          <w:rFonts w:ascii="Times New Roman" w:eastAsia="Times New Roman" w:hAnsi="Times New Roman" w:cs="Times New Roman"/>
        </w:rPr>
        <w:t xml:space="preserve"> in the raster cells, three contrasting drought stress regimes were selected. First, some raster cells showed </w:t>
      </w:r>
      <w:r>
        <w:rPr>
          <w:rFonts w:ascii="Times New Roman" w:eastAsia="Times New Roman" w:hAnsi="Times New Roman" w:cs="Times New Roman"/>
          <w:b/>
        </w:rPr>
        <w:t>zero drought stress</w:t>
      </w:r>
      <w:r>
        <w:rPr>
          <w:rFonts w:ascii="Times New Roman" w:eastAsia="Times New Roman" w:hAnsi="Times New Roman" w:cs="Times New Roman"/>
        </w:rPr>
        <w:t xml:space="preserve">. Then, we aimed to select the raster cell with the highest average </w:t>
      </w:r>
      <w:r>
        <w:rPr>
          <w:rFonts w:ascii="Times New Roman" w:eastAsia="Times New Roman" w:hAnsi="Times New Roman" w:cs="Times New Roman"/>
          <w:i/>
        </w:rPr>
        <w:t>stressLevel</w:t>
      </w:r>
      <w:r>
        <w:rPr>
          <w:rFonts w:ascii="Times New Roman" w:eastAsia="Times New Roman" w:hAnsi="Times New Roman" w:cs="Times New Roman"/>
        </w:rPr>
        <w:t xml:space="preserve">. However, both this raster cell and the next in line displayed a non-monotonic relationship between the shape and scale parameters and LAI, which did not align with the drought stress regime formalism in Luberon2 (main text, eq. 1,2). Therefore, we retained the raster cell with the third-highest average </w:t>
      </w:r>
      <w:r>
        <w:rPr>
          <w:rFonts w:ascii="Times New Roman" w:eastAsia="Times New Roman" w:hAnsi="Times New Roman" w:cs="Times New Roman"/>
          <w:i/>
        </w:rPr>
        <w:t>stressLevel</w:t>
      </w:r>
      <w:r>
        <w:rPr>
          <w:rFonts w:ascii="Times New Roman" w:eastAsia="Times New Roman" w:hAnsi="Times New Roman" w:cs="Times New Roman"/>
        </w:rPr>
        <w:t xml:space="preserve">, with a value of 179 Mpa, as the </w:t>
      </w:r>
      <w:r>
        <w:rPr>
          <w:rFonts w:ascii="Times New Roman" w:eastAsia="Times New Roman" w:hAnsi="Times New Roman" w:cs="Times New Roman"/>
          <w:b/>
        </w:rPr>
        <w:t>severe drought stress regime</w:t>
      </w:r>
      <w:r>
        <w:rPr>
          <w:rFonts w:ascii="Times New Roman" w:eastAsia="Times New Roman" w:hAnsi="Times New Roman" w:cs="Times New Roman"/>
        </w:rPr>
        <w:t xml:space="preserve">. Finally, we selected a raster cell with a </w:t>
      </w:r>
      <w:r>
        <w:rPr>
          <w:rFonts w:ascii="Times New Roman" w:eastAsia="Times New Roman" w:hAnsi="Times New Roman" w:cs="Times New Roman"/>
          <w:b/>
        </w:rPr>
        <w:t xml:space="preserve">medium </w:t>
      </w:r>
      <w:r>
        <w:rPr>
          <w:rFonts w:ascii="Times New Roman" w:eastAsia="Times New Roman" w:hAnsi="Times New Roman" w:cs="Times New Roman"/>
        </w:rPr>
        <w:t xml:space="preserve">drought stress regime, where the average </w:t>
      </w:r>
      <w:r>
        <w:rPr>
          <w:rFonts w:ascii="Times New Roman" w:eastAsia="Times New Roman" w:hAnsi="Times New Roman" w:cs="Times New Roman"/>
          <w:i/>
        </w:rPr>
        <w:t xml:space="preserve">stressLevel </w:t>
      </w:r>
      <w:r>
        <w:rPr>
          <w:rFonts w:ascii="Times New Roman" w:eastAsia="Times New Roman" w:hAnsi="Times New Roman" w:cs="Times New Roman"/>
        </w:rPr>
        <w:t>was 69 MPa. The position of these raster cells is indicated by vertical lines on the density plot and by arrows on the geographical distribution, with colours representing different stress levels: blue for zero drought stress, yellow for medium drought stress, and red for severe drought stress. The blue arrow points to one of the drought stress-free raster cells.</w:t>
      </w:r>
    </w:p>
    <w:p w14:paraId="01BE023F" w14:textId="77777777" w:rsidR="00C5690E" w:rsidRDefault="00C5690E">
      <w:pPr>
        <w:spacing w:after="160" w:line="259" w:lineRule="auto"/>
        <w:ind w:firstLine="0"/>
        <w:jc w:val="left"/>
        <w:rPr>
          <w:rFonts w:ascii="Times New Roman" w:eastAsia="Times New Roman" w:hAnsi="Times New Roman" w:cs="Times New Roman"/>
          <w:b/>
        </w:rPr>
      </w:pPr>
      <w:r>
        <w:rPr>
          <w:rFonts w:ascii="Times New Roman" w:eastAsia="Times New Roman" w:hAnsi="Times New Roman" w:cs="Times New Roman"/>
          <w:b/>
        </w:rPr>
        <w:br w:type="page"/>
      </w:r>
    </w:p>
    <w:p w14:paraId="27D5CDB8" w14:textId="624B6712" w:rsidR="00FC69F7" w:rsidRDefault="00FC69F7" w:rsidP="00FC69F7">
      <w:pPr>
        <w:spacing w:line="276" w:lineRule="auto"/>
        <w:ind w:firstLine="0"/>
        <w:rPr>
          <w:rFonts w:ascii="Times New Roman" w:eastAsia="Times New Roman" w:hAnsi="Times New Roman" w:cs="Times New Roman"/>
        </w:rPr>
      </w:pPr>
      <w:r>
        <w:rPr>
          <w:rFonts w:ascii="Times New Roman" w:eastAsia="Times New Roman" w:hAnsi="Times New Roman" w:cs="Times New Roman"/>
          <w:b/>
        </w:rPr>
        <w:lastRenderedPageBreak/>
        <w:t>Table S1.</w:t>
      </w:r>
      <w:r>
        <w:rPr>
          <w:rFonts w:ascii="Times New Roman" w:eastAsia="Times New Roman" w:hAnsi="Times New Roman" w:cs="Times New Roman"/>
        </w:rPr>
        <w:t xml:space="preserve"> Values of the six parameters linking the scale and shape parameters of the </w:t>
      </w:r>
      <w:r>
        <w:rPr>
          <w:rFonts w:ascii="Times New Roman" w:eastAsia="Times New Roman" w:hAnsi="Times New Roman" w:cs="Times New Roman"/>
          <w:i/>
        </w:rPr>
        <w:t xml:space="preserve">stressLevel </w:t>
      </w:r>
      <w:r>
        <w:rPr>
          <w:rFonts w:ascii="Times New Roman" w:eastAsia="Times New Roman" w:hAnsi="Times New Roman" w:cs="Times New Roman"/>
        </w:rPr>
        <w:t xml:space="preserve">Gamma distribution to LAI for the medium and severe drought stress regimes (main text, eq. 1,2). In the case of the zero drought stress, the drought disturbance </w:t>
      </w:r>
      <w:proofErr w:type="gramStart"/>
      <w:r>
        <w:rPr>
          <w:rFonts w:ascii="Times New Roman" w:eastAsia="Times New Roman" w:hAnsi="Times New Roman" w:cs="Times New Roman"/>
        </w:rPr>
        <w:t>was simply deactivated</w:t>
      </w:r>
      <w:proofErr w:type="gramEnd"/>
      <w:r>
        <w:rPr>
          <w:rFonts w:ascii="Times New Roman" w:eastAsia="Times New Roman" w:hAnsi="Times New Roman" w:cs="Times New Roman"/>
        </w:rPr>
        <w:t>. For the medium stress drought regime, the relationship between the scale parameter and LAI displayed an R² value of 0.98, while the relationship between the shape parameter and LAI displayed an R² value of 0.99. For the severe drought stress regime, the relationship between the scale parameter and LAI displayed an R² value of 0.85, while the relationship between the shape parameter and LAI displayed an R² value of 0.92.</w:t>
      </w:r>
    </w:p>
    <w:tbl>
      <w:tblPr>
        <w:tblW w:w="9120"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1"/>
        <w:gridCol w:w="1245"/>
        <w:gridCol w:w="1245"/>
        <w:gridCol w:w="1245"/>
        <w:gridCol w:w="1254"/>
        <w:gridCol w:w="1235"/>
        <w:gridCol w:w="1245"/>
      </w:tblGrid>
      <w:tr w:rsidR="00FC69F7" w14:paraId="1CC6890B" w14:textId="77777777" w:rsidTr="00FA12C5">
        <w:tc>
          <w:tcPr>
            <w:tcW w:w="1650" w:type="dxa"/>
            <w:tcBorders>
              <w:left w:val="nil"/>
              <w:right w:val="nil"/>
            </w:tcBorders>
          </w:tcPr>
          <w:p w14:paraId="5041E1B6" w14:textId="77777777" w:rsidR="00FC69F7" w:rsidRDefault="00FC69F7" w:rsidP="00FA12C5">
            <w:pPr>
              <w:spacing w:line="276" w:lineRule="auto"/>
              <w:ind w:firstLine="0"/>
              <w:rPr>
                <w:rFonts w:ascii="Times New Roman" w:eastAsia="Times New Roman" w:hAnsi="Times New Roman" w:cs="Times New Roman"/>
                <w:b/>
              </w:rPr>
            </w:pPr>
            <w:r>
              <w:rPr>
                <w:rFonts w:ascii="Times New Roman" w:eastAsia="Times New Roman" w:hAnsi="Times New Roman" w:cs="Times New Roman"/>
                <w:b/>
              </w:rPr>
              <w:t>Drought stress regime</w:t>
            </w:r>
          </w:p>
        </w:tc>
        <w:tc>
          <w:tcPr>
            <w:tcW w:w="1245" w:type="dxa"/>
            <w:tcBorders>
              <w:left w:val="nil"/>
              <w:right w:val="nil"/>
            </w:tcBorders>
          </w:tcPr>
          <w:p w14:paraId="0A7CE31B" w14:textId="77777777" w:rsidR="00FC69F7" w:rsidRDefault="00FC69F7" w:rsidP="00FA12C5">
            <w:pPr>
              <w:spacing w:line="276" w:lineRule="auto"/>
              <w:ind w:firstLine="0"/>
              <w:jc w:val="center"/>
              <w:rPr>
                <w:rFonts w:ascii="Times New Roman" w:eastAsia="Times New Roman" w:hAnsi="Times New Roman" w:cs="Times New Roman"/>
                <w:b/>
              </w:rPr>
            </w:pPr>
            <w:proofErr w:type="spellStart"/>
            <w:r>
              <w:rPr>
                <w:rFonts w:ascii="Times New Roman" w:eastAsia="Times New Roman" w:hAnsi="Times New Roman" w:cs="Times New Roman"/>
                <w:b/>
              </w:rPr>
              <w:t>a</w:t>
            </w:r>
            <w:r>
              <w:rPr>
                <w:rFonts w:ascii="Times New Roman" w:eastAsia="Times New Roman" w:hAnsi="Times New Roman" w:cs="Times New Roman"/>
                <w:b/>
                <w:vertAlign w:val="subscript"/>
              </w:rPr>
              <w:t>scale</w:t>
            </w:r>
            <w:proofErr w:type="spellEnd"/>
          </w:p>
        </w:tc>
        <w:tc>
          <w:tcPr>
            <w:tcW w:w="1245" w:type="dxa"/>
            <w:tcBorders>
              <w:left w:val="nil"/>
              <w:right w:val="nil"/>
            </w:tcBorders>
          </w:tcPr>
          <w:p w14:paraId="74212A11" w14:textId="77777777" w:rsidR="00FC69F7" w:rsidRDefault="00FC69F7" w:rsidP="00FA12C5">
            <w:pPr>
              <w:spacing w:line="276" w:lineRule="auto"/>
              <w:ind w:firstLine="0"/>
              <w:jc w:val="center"/>
              <w:rPr>
                <w:rFonts w:ascii="Times New Roman" w:eastAsia="Times New Roman" w:hAnsi="Times New Roman" w:cs="Times New Roman"/>
                <w:b/>
              </w:rPr>
            </w:pPr>
            <w:proofErr w:type="spellStart"/>
            <w:r>
              <w:rPr>
                <w:rFonts w:ascii="Times New Roman" w:eastAsia="Times New Roman" w:hAnsi="Times New Roman" w:cs="Times New Roman"/>
                <w:b/>
              </w:rPr>
              <w:t>b</w:t>
            </w:r>
            <w:r>
              <w:rPr>
                <w:rFonts w:ascii="Times New Roman" w:eastAsia="Times New Roman" w:hAnsi="Times New Roman" w:cs="Times New Roman"/>
                <w:b/>
                <w:vertAlign w:val="subscript"/>
              </w:rPr>
              <w:t>scale</w:t>
            </w:r>
            <w:proofErr w:type="spellEnd"/>
          </w:p>
        </w:tc>
        <w:tc>
          <w:tcPr>
            <w:tcW w:w="1245" w:type="dxa"/>
            <w:tcBorders>
              <w:left w:val="nil"/>
              <w:right w:val="nil"/>
            </w:tcBorders>
          </w:tcPr>
          <w:p w14:paraId="3757D546" w14:textId="77777777" w:rsidR="00FC69F7" w:rsidRDefault="00FC69F7" w:rsidP="00FA12C5">
            <w:pPr>
              <w:spacing w:line="276" w:lineRule="auto"/>
              <w:ind w:firstLine="0"/>
              <w:jc w:val="center"/>
              <w:rPr>
                <w:rFonts w:ascii="Times New Roman" w:eastAsia="Times New Roman" w:hAnsi="Times New Roman" w:cs="Times New Roman"/>
                <w:b/>
              </w:rPr>
            </w:pPr>
            <w:r>
              <w:rPr>
                <w:rFonts w:ascii="Times New Roman" w:eastAsia="Times New Roman" w:hAnsi="Times New Roman" w:cs="Times New Roman"/>
                <w:b/>
              </w:rPr>
              <w:t>𝑐</w:t>
            </w:r>
            <w:r>
              <w:rPr>
                <w:rFonts w:ascii="Times New Roman" w:eastAsia="Times New Roman" w:hAnsi="Times New Roman" w:cs="Times New Roman"/>
                <w:b/>
                <w:vertAlign w:val="subscript"/>
              </w:rPr>
              <w:t>scale</w:t>
            </w:r>
          </w:p>
        </w:tc>
        <w:tc>
          <w:tcPr>
            <w:tcW w:w="1254" w:type="dxa"/>
            <w:tcBorders>
              <w:left w:val="nil"/>
              <w:right w:val="nil"/>
            </w:tcBorders>
          </w:tcPr>
          <w:p w14:paraId="3F9DA516" w14:textId="77777777" w:rsidR="00FC69F7" w:rsidRDefault="00FC69F7" w:rsidP="00FA12C5">
            <w:pPr>
              <w:spacing w:line="276" w:lineRule="auto"/>
              <w:ind w:firstLine="0"/>
              <w:jc w:val="center"/>
              <w:rPr>
                <w:rFonts w:ascii="Times New Roman" w:eastAsia="Times New Roman" w:hAnsi="Times New Roman" w:cs="Times New Roman"/>
                <w:b/>
              </w:rPr>
            </w:pPr>
            <w:proofErr w:type="spellStart"/>
            <w:r>
              <w:rPr>
                <w:rFonts w:ascii="Times New Roman" w:eastAsia="Times New Roman" w:hAnsi="Times New Roman" w:cs="Times New Roman"/>
                <w:b/>
              </w:rPr>
              <w:t>a</w:t>
            </w:r>
            <w:r>
              <w:rPr>
                <w:rFonts w:ascii="Times New Roman" w:eastAsia="Times New Roman" w:hAnsi="Times New Roman" w:cs="Times New Roman"/>
                <w:b/>
                <w:vertAlign w:val="subscript"/>
              </w:rPr>
              <w:t>sℎ</w:t>
            </w:r>
            <w:proofErr w:type="spellEnd"/>
            <w:r>
              <w:rPr>
                <w:rFonts w:ascii="Times New Roman" w:eastAsia="Times New Roman" w:hAnsi="Times New Roman" w:cs="Times New Roman"/>
                <w:b/>
                <w:vertAlign w:val="subscript"/>
              </w:rPr>
              <w:t>𝑎𝑝𝑒</w:t>
            </w:r>
          </w:p>
        </w:tc>
        <w:tc>
          <w:tcPr>
            <w:tcW w:w="1235" w:type="dxa"/>
            <w:tcBorders>
              <w:left w:val="nil"/>
              <w:right w:val="nil"/>
            </w:tcBorders>
          </w:tcPr>
          <w:p w14:paraId="1DD321D9" w14:textId="77777777" w:rsidR="00FC69F7" w:rsidRDefault="00FC69F7" w:rsidP="00FA12C5">
            <w:pPr>
              <w:spacing w:line="276" w:lineRule="auto"/>
              <w:ind w:firstLine="0"/>
              <w:jc w:val="center"/>
              <w:rPr>
                <w:rFonts w:ascii="Times New Roman" w:eastAsia="Times New Roman" w:hAnsi="Times New Roman" w:cs="Times New Roman"/>
                <w:b/>
              </w:rPr>
            </w:pPr>
            <w:proofErr w:type="spellStart"/>
            <w:r>
              <w:rPr>
                <w:rFonts w:ascii="Times New Roman" w:eastAsia="Times New Roman" w:hAnsi="Times New Roman" w:cs="Times New Roman"/>
                <w:b/>
              </w:rPr>
              <w:t>b</w:t>
            </w:r>
            <w:r>
              <w:rPr>
                <w:rFonts w:ascii="Times New Roman" w:eastAsia="Times New Roman" w:hAnsi="Times New Roman" w:cs="Times New Roman"/>
                <w:b/>
                <w:vertAlign w:val="subscript"/>
              </w:rPr>
              <w:t>sℎ</w:t>
            </w:r>
            <w:proofErr w:type="spellEnd"/>
            <w:r>
              <w:rPr>
                <w:rFonts w:ascii="Times New Roman" w:eastAsia="Times New Roman" w:hAnsi="Times New Roman" w:cs="Times New Roman"/>
                <w:b/>
                <w:vertAlign w:val="subscript"/>
              </w:rPr>
              <w:t>𝑎𝑝𝑒</w:t>
            </w:r>
          </w:p>
        </w:tc>
        <w:tc>
          <w:tcPr>
            <w:tcW w:w="1245" w:type="dxa"/>
            <w:tcBorders>
              <w:left w:val="nil"/>
              <w:right w:val="nil"/>
            </w:tcBorders>
          </w:tcPr>
          <w:p w14:paraId="47C6480A" w14:textId="77777777" w:rsidR="00FC69F7" w:rsidRDefault="00FC69F7" w:rsidP="00FA12C5">
            <w:pPr>
              <w:spacing w:line="276" w:lineRule="auto"/>
              <w:ind w:firstLine="0"/>
              <w:jc w:val="center"/>
              <w:rPr>
                <w:rFonts w:ascii="Times New Roman" w:eastAsia="Times New Roman" w:hAnsi="Times New Roman" w:cs="Times New Roman"/>
                <w:b/>
              </w:rPr>
            </w:pPr>
            <w:r>
              <w:rPr>
                <w:rFonts w:ascii="Times New Roman" w:eastAsia="Times New Roman" w:hAnsi="Times New Roman" w:cs="Times New Roman"/>
                <w:b/>
              </w:rPr>
              <w:t>𝑐</w:t>
            </w:r>
            <w:proofErr w:type="spellStart"/>
            <w:r>
              <w:rPr>
                <w:rFonts w:ascii="Times New Roman" w:eastAsia="Times New Roman" w:hAnsi="Times New Roman" w:cs="Times New Roman"/>
                <w:b/>
                <w:vertAlign w:val="subscript"/>
              </w:rPr>
              <w:t>sℎ</w:t>
            </w:r>
            <w:proofErr w:type="spellEnd"/>
            <w:r>
              <w:rPr>
                <w:rFonts w:ascii="Times New Roman" w:eastAsia="Times New Roman" w:hAnsi="Times New Roman" w:cs="Times New Roman"/>
                <w:b/>
                <w:vertAlign w:val="subscript"/>
              </w:rPr>
              <w:t>𝑎𝑝𝑒</w:t>
            </w:r>
          </w:p>
        </w:tc>
      </w:tr>
      <w:tr w:rsidR="00FC69F7" w14:paraId="5178CA9F" w14:textId="77777777" w:rsidTr="00FA12C5">
        <w:trPr>
          <w:trHeight w:val="518"/>
        </w:trPr>
        <w:tc>
          <w:tcPr>
            <w:tcW w:w="1650" w:type="dxa"/>
            <w:tcBorders>
              <w:left w:val="nil"/>
              <w:bottom w:val="nil"/>
              <w:right w:val="nil"/>
            </w:tcBorders>
          </w:tcPr>
          <w:p w14:paraId="07842392" w14:textId="77777777" w:rsidR="00FC69F7" w:rsidRDefault="00FC69F7" w:rsidP="00FA12C5">
            <w:pPr>
              <w:spacing w:line="276" w:lineRule="auto"/>
              <w:ind w:firstLine="0"/>
              <w:rPr>
                <w:rFonts w:ascii="Times New Roman" w:eastAsia="Times New Roman" w:hAnsi="Times New Roman" w:cs="Times New Roman"/>
                <w:i/>
              </w:rPr>
            </w:pPr>
            <w:r>
              <w:rPr>
                <w:rFonts w:ascii="Times New Roman" w:eastAsia="Times New Roman" w:hAnsi="Times New Roman" w:cs="Times New Roman"/>
                <w:i/>
              </w:rPr>
              <w:t>Medium</w:t>
            </w:r>
          </w:p>
        </w:tc>
        <w:tc>
          <w:tcPr>
            <w:tcW w:w="1245" w:type="dxa"/>
            <w:tcBorders>
              <w:left w:val="nil"/>
              <w:bottom w:val="nil"/>
              <w:right w:val="nil"/>
            </w:tcBorders>
          </w:tcPr>
          <w:p w14:paraId="735550D5" w14:textId="77777777" w:rsidR="00FC69F7" w:rsidRDefault="00FC69F7" w:rsidP="00FA12C5">
            <w:pPr>
              <w:spacing w:line="276" w:lineRule="auto"/>
              <w:ind w:firstLine="0"/>
              <w:jc w:val="center"/>
              <w:rPr>
                <w:rFonts w:ascii="Times New Roman" w:eastAsia="Times New Roman" w:hAnsi="Times New Roman" w:cs="Times New Roman"/>
              </w:rPr>
            </w:pPr>
            <w:r>
              <w:rPr>
                <w:rFonts w:ascii="Gungsuh" w:eastAsia="Gungsuh" w:hAnsi="Gungsuh" w:cs="Gungsuh"/>
              </w:rPr>
              <w:t>−27.9</w:t>
            </w:r>
          </w:p>
        </w:tc>
        <w:tc>
          <w:tcPr>
            <w:tcW w:w="1245" w:type="dxa"/>
            <w:tcBorders>
              <w:left w:val="nil"/>
              <w:bottom w:val="nil"/>
              <w:right w:val="nil"/>
            </w:tcBorders>
          </w:tcPr>
          <w:p w14:paraId="2B0AEF72" w14:textId="77777777" w:rsidR="00FC69F7" w:rsidRDefault="00FC69F7" w:rsidP="00FA12C5">
            <w:pPr>
              <w:spacing w:line="276" w:lineRule="auto"/>
              <w:ind w:firstLine="0"/>
              <w:jc w:val="center"/>
              <w:rPr>
                <w:rFonts w:ascii="Times New Roman" w:eastAsia="Times New Roman" w:hAnsi="Times New Roman" w:cs="Times New Roman"/>
              </w:rPr>
            </w:pPr>
            <w:r>
              <w:rPr>
                <w:rFonts w:ascii="Gungsuh" w:eastAsia="Gungsuh" w:hAnsi="Gungsuh" w:cs="Gungsuh"/>
              </w:rPr>
              <w:t>−0.7</w:t>
            </w:r>
          </w:p>
        </w:tc>
        <w:tc>
          <w:tcPr>
            <w:tcW w:w="1245" w:type="dxa"/>
            <w:tcBorders>
              <w:left w:val="nil"/>
              <w:bottom w:val="nil"/>
              <w:right w:val="nil"/>
            </w:tcBorders>
          </w:tcPr>
          <w:p w14:paraId="5D90A9D3" w14:textId="77777777" w:rsidR="00FC69F7" w:rsidRDefault="00FC69F7" w:rsidP="00FA12C5">
            <w:pPr>
              <w:spacing w:line="276" w:lineRule="auto"/>
              <w:ind w:firstLine="0"/>
              <w:jc w:val="center"/>
              <w:rPr>
                <w:rFonts w:ascii="Times New Roman" w:eastAsia="Times New Roman" w:hAnsi="Times New Roman" w:cs="Times New Roman"/>
              </w:rPr>
            </w:pPr>
            <w:r>
              <w:rPr>
                <w:rFonts w:ascii="Times New Roman" w:eastAsia="Times New Roman" w:hAnsi="Times New Roman" w:cs="Times New Roman"/>
              </w:rPr>
              <w:t>17.9</w:t>
            </w:r>
          </w:p>
        </w:tc>
        <w:tc>
          <w:tcPr>
            <w:tcW w:w="1254" w:type="dxa"/>
            <w:tcBorders>
              <w:left w:val="nil"/>
              <w:bottom w:val="nil"/>
              <w:right w:val="nil"/>
            </w:tcBorders>
          </w:tcPr>
          <w:p w14:paraId="11CFF373" w14:textId="77777777" w:rsidR="00FC69F7" w:rsidRDefault="00FC69F7" w:rsidP="00FA12C5">
            <w:pPr>
              <w:spacing w:line="276" w:lineRule="auto"/>
              <w:ind w:firstLine="0"/>
              <w:jc w:val="center"/>
              <w:rPr>
                <w:rFonts w:ascii="Times New Roman" w:eastAsia="Times New Roman" w:hAnsi="Times New Roman" w:cs="Times New Roman"/>
              </w:rPr>
            </w:pPr>
            <w:r>
              <w:rPr>
                <w:rFonts w:ascii="Times New Roman" w:eastAsia="Times New Roman" w:hAnsi="Times New Roman" w:cs="Times New Roman"/>
              </w:rPr>
              <w:t>1001.6</w:t>
            </w:r>
          </w:p>
        </w:tc>
        <w:tc>
          <w:tcPr>
            <w:tcW w:w="1235" w:type="dxa"/>
            <w:tcBorders>
              <w:left w:val="nil"/>
              <w:bottom w:val="nil"/>
              <w:right w:val="nil"/>
            </w:tcBorders>
          </w:tcPr>
          <w:p w14:paraId="71BB368D" w14:textId="77777777" w:rsidR="00FC69F7" w:rsidRDefault="00FC69F7" w:rsidP="00FA12C5">
            <w:pPr>
              <w:spacing w:line="276" w:lineRule="auto"/>
              <w:ind w:firstLine="0"/>
              <w:jc w:val="center"/>
              <w:rPr>
                <w:rFonts w:ascii="Times New Roman" w:eastAsia="Times New Roman" w:hAnsi="Times New Roman" w:cs="Times New Roman"/>
              </w:rPr>
            </w:pPr>
            <w:r>
              <w:rPr>
                <w:rFonts w:ascii="Gungsuh" w:eastAsia="Gungsuh" w:hAnsi="Gungsuh" w:cs="Gungsuh"/>
              </w:rPr>
              <w:t>−6.2</w:t>
            </w:r>
          </w:p>
        </w:tc>
        <w:tc>
          <w:tcPr>
            <w:tcW w:w="1245" w:type="dxa"/>
            <w:tcBorders>
              <w:left w:val="nil"/>
              <w:bottom w:val="nil"/>
              <w:right w:val="nil"/>
            </w:tcBorders>
          </w:tcPr>
          <w:p w14:paraId="3628ACC5" w14:textId="77777777" w:rsidR="00FC69F7" w:rsidRDefault="00FC69F7" w:rsidP="00FA12C5">
            <w:pPr>
              <w:spacing w:line="276" w:lineRule="auto"/>
              <w:ind w:firstLine="0"/>
              <w:jc w:val="center"/>
              <w:rPr>
                <w:rFonts w:ascii="Times New Roman" w:eastAsia="Times New Roman" w:hAnsi="Times New Roman" w:cs="Times New Roman"/>
              </w:rPr>
            </w:pPr>
            <w:r>
              <w:rPr>
                <w:rFonts w:ascii="Times New Roman" w:eastAsia="Times New Roman" w:hAnsi="Times New Roman" w:cs="Times New Roman"/>
              </w:rPr>
              <w:t>7.6</w:t>
            </w:r>
          </w:p>
        </w:tc>
      </w:tr>
      <w:tr w:rsidR="00FC69F7" w14:paraId="320B6E1E" w14:textId="77777777" w:rsidTr="00FA12C5">
        <w:trPr>
          <w:trHeight w:val="328"/>
        </w:trPr>
        <w:tc>
          <w:tcPr>
            <w:tcW w:w="1650" w:type="dxa"/>
            <w:tcBorders>
              <w:top w:val="nil"/>
              <w:left w:val="nil"/>
              <w:right w:val="nil"/>
            </w:tcBorders>
          </w:tcPr>
          <w:p w14:paraId="2202136D" w14:textId="77777777" w:rsidR="00FC69F7" w:rsidRDefault="00FC69F7" w:rsidP="00FA12C5">
            <w:pPr>
              <w:spacing w:line="276" w:lineRule="auto"/>
              <w:ind w:firstLine="0"/>
              <w:rPr>
                <w:rFonts w:ascii="Times New Roman" w:eastAsia="Times New Roman" w:hAnsi="Times New Roman" w:cs="Times New Roman"/>
                <w:i/>
              </w:rPr>
            </w:pPr>
            <w:r>
              <w:rPr>
                <w:rFonts w:ascii="Times New Roman" w:eastAsia="Times New Roman" w:hAnsi="Times New Roman" w:cs="Times New Roman"/>
                <w:i/>
              </w:rPr>
              <w:t>Severe</w:t>
            </w:r>
          </w:p>
        </w:tc>
        <w:tc>
          <w:tcPr>
            <w:tcW w:w="1245" w:type="dxa"/>
            <w:tcBorders>
              <w:top w:val="nil"/>
              <w:left w:val="nil"/>
              <w:right w:val="nil"/>
            </w:tcBorders>
          </w:tcPr>
          <w:p w14:paraId="44AFF206" w14:textId="77777777" w:rsidR="00FC69F7" w:rsidRDefault="00FC69F7" w:rsidP="00FA12C5">
            <w:pPr>
              <w:spacing w:line="276" w:lineRule="auto"/>
              <w:ind w:firstLine="0"/>
              <w:jc w:val="center"/>
              <w:rPr>
                <w:rFonts w:ascii="Times New Roman" w:eastAsia="Times New Roman" w:hAnsi="Times New Roman" w:cs="Times New Roman"/>
              </w:rPr>
            </w:pPr>
            <w:r>
              <w:rPr>
                <w:rFonts w:ascii="Gungsuh" w:eastAsia="Gungsuh" w:hAnsi="Gungsuh" w:cs="Gungsuh"/>
              </w:rPr>
              <w:t>−189.0</w:t>
            </w:r>
          </w:p>
        </w:tc>
        <w:tc>
          <w:tcPr>
            <w:tcW w:w="1245" w:type="dxa"/>
            <w:tcBorders>
              <w:top w:val="nil"/>
              <w:left w:val="nil"/>
              <w:right w:val="nil"/>
            </w:tcBorders>
          </w:tcPr>
          <w:p w14:paraId="2CE49737" w14:textId="77777777" w:rsidR="00FC69F7" w:rsidRDefault="00FC69F7" w:rsidP="00FA12C5">
            <w:pPr>
              <w:spacing w:line="276" w:lineRule="auto"/>
              <w:ind w:firstLine="0"/>
              <w:jc w:val="center"/>
              <w:rPr>
                <w:rFonts w:ascii="Times New Roman" w:eastAsia="Times New Roman" w:hAnsi="Times New Roman" w:cs="Times New Roman"/>
              </w:rPr>
            </w:pPr>
            <w:r>
              <w:rPr>
                <w:rFonts w:ascii="Gungsuh" w:eastAsia="Gungsuh" w:hAnsi="Gungsuh" w:cs="Gungsuh"/>
              </w:rPr>
              <w:t>−3.5</w:t>
            </w:r>
          </w:p>
        </w:tc>
        <w:tc>
          <w:tcPr>
            <w:tcW w:w="1245" w:type="dxa"/>
            <w:tcBorders>
              <w:top w:val="nil"/>
              <w:left w:val="nil"/>
              <w:right w:val="nil"/>
            </w:tcBorders>
          </w:tcPr>
          <w:p w14:paraId="5889D3F3" w14:textId="77777777" w:rsidR="00FC69F7" w:rsidRDefault="00FC69F7" w:rsidP="00FA12C5">
            <w:pPr>
              <w:spacing w:line="276" w:lineRule="auto"/>
              <w:ind w:firstLine="0"/>
              <w:jc w:val="center"/>
              <w:rPr>
                <w:rFonts w:ascii="Times New Roman" w:eastAsia="Times New Roman" w:hAnsi="Times New Roman" w:cs="Times New Roman"/>
              </w:rPr>
            </w:pPr>
            <w:r>
              <w:rPr>
                <w:rFonts w:ascii="Times New Roman" w:eastAsia="Times New Roman" w:hAnsi="Times New Roman" w:cs="Times New Roman"/>
              </w:rPr>
              <w:t>26.3</w:t>
            </w:r>
          </w:p>
        </w:tc>
        <w:tc>
          <w:tcPr>
            <w:tcW w:w="1254" w:type="dxa"/>
            <w:tcBorders>
              <w:top w:val="nil"/>
              <w:left w:val="nil"/>
              <w:right w:val="nil"/>
            </w:tcBorders>
          </w:tcPr>
          <w:p w14:paraId="3A94E93E" w14:textId="77777777" w:rsidR="00FC69F7" w:rsidRDefault="00FC69F7" w:rsidP="00FA12C5">
            <w:pPr>
              <w:spacing w:line="276" w:lineRule="auto"/>
              <w:ind w:firstLine="0"/>
              <w:jc w:val="center"/>
              <w:rPr>
                <w:rFonts w:ascii="Times New Roman" w:eastAsia="Times New Roman" w:hAnsi="Times New Roman" w:cs="Times New Roman"/>
              </w:rPr>
            </w:pPr>
            <w:r>
              <w:rPr>
                <w:rFonts w:ascii="Times New Roman" w:eastAsia="Times New Roman" w:hAnsi="Times New Roman" w:cs="Times New Roman"/>
              </w:rPr>
              <w:t>0.3</w:t>
            </w:r>
          </w:p>
        </w:tc>
        <w:tc>
          <w:tcPr>
            <w:tcW w:w="1235" w:type="dxa"/>
            <w:tcBorders>
              <w:top w:val="nil"/>
              <w:left w:val="nil"/>
              <w:right w:val="nil"/>
            </w:tcBorders>
          </w:tcPr>
          <w:p w14:paraId="7DC4D2CD" w14:textId="77777777" w:rsidR="00FC69F7" w:rsidRDefault="00FC69F7" w:rsidP="00FA12C5">
            <w:pPr>
              <w:spacing w:line="276" w:lineRule="auto"/>
              <w:ind w:firstLine="0"/>
              <w:jc w:val="center"/>
              <w:rPr>
                <w:rFonts w:ascii="Times New Roman" w:eastAsia="Times New Roman" w:hAnsi="Times New Roman" w:cs="Times New Roman"/>
              </w:rPr>
            </w:pPr>
            <w:r>
              <w:rPr>
                <w:rFonts w:ascii="Times New Roman" w:eastAsia="Times New Roman" w:hAnsi="Times New Roman" w:cs="Times New Roman"/>
              </w:rPr>
              <w:t>1.3</w:t>
            </w:r>
          </w:p>
        </w:tc>
        <w:tc>
          <w:tcPr>
            <w:tcW w:w="1245" w:type="dxa"/>
            <w:tcBorders>
              <w:top w:val="nil"/>
              <w:left w:val="nil"/>
              <w:right w:val="nil"/>
            </w:tcBorders>
          </w:tcPr>
          <w:p w14:paraId="02D7F62A" w14:textId="77777777" w:rsidR="00FC69F7" w:rsidRDefault="00FC69F7" w:rsidP="00FA12C5">
            <w:pPr>
              <w:spacing w:line="276" w:lineRule="auto"/>
              <w:ind w:firstLine="0"/>
              <w:jc w:val="center"/>
              <w:rPr>
                <w:rFonts w:ascii="Times New Roman" w:eastAsia="Times New Roman" w:hAnsi="Times New Roman" w:cs="Times New Roman"/>
              </w:rPr>
            </w:pPr>
            <w:r>
              <w:rPr>
                <w:rFonts w:ascii="Times New Roman" w:eastAsia="Times New Roman" w:hAnsi="Times New Roman" w:cs="Times New Roman"/>
              </w:rPr>
              <w:t>3.7</w:t>
            </w:r>
          </w:p>
        </w:tc>
      </w:tr>
    </w:tbl>
    <w:p w14:paraId="7B8C4BF7" w14:textId="77777777" w:rsidR="00FC69F7" w:rsidRDefault="00FC69F7" w:rsidP="00FC69F7">
      <w:pPr>
        <w:spacing w:line="276" w:lineRule="auto"/>
        <w:ind w:left="-1133" w:firstLine="0"/>
        <w:jc w:val="center"/>
        <w:rPr>
          <w:rFonts w:ascii="Times New Roman" w:eastAsia="Times New Roman" w:hAnsi="Times New Roman" w:cs="Times New Roman"/>
        </w:rPr>
      </w:pPr>
    </w:p>
    <w:p w14:paraId="504B361F" w14:textId="77777777" w:rsidR="00FC69F7" w:rsidRDefault="00FC69F7" w:rsidP="00FC69F7">
      <w:pPr>
        <w:spacing w:line="276" w:lineRule="auto"/>
        <w:ind w:left="-1133" w:firstLine="0"/>
        <w:jc w:val="center"/>
        <w:rPr>
          <w:rFonts w:ascii="Times New Roman" w:eastAsia="Times New Roman" w:hAnsi="Times New Roman" w:cs="Times New Roman"/>
        </w:rPr>
      </w:pPr>
    </w:p>
    <w:p w14:paraId="7068129C" w14:textId="77777777" w:rsidR="00FC69F7" w:rsidRDefault="00FC69F7" w:rsidP="00FC69F7">
      <w:pPr>
        <w:spacing w:line="276" w:lineRule="auto"/>
        <w:ind w:left="-992" w:firstLine="0"/>
        <w:jc w:val="center"/>
        <w:rPr>
          <w:rFonts w:ascii="Times New Roman" w:eastAsia="Times New Roman" w:hAnsi="Times New Roman" w:cs="Times New Roman"/>
        </w:rPr>
      </w:pPr>
      <w:r>
        <w:rPr>
          <w:rFonts w:ascii="Times New Roman" w:eastAsia="Times New Roman" w:hAnsi="Times New Roman" w:cs="Times New Roman"/>
          <w:noProof/>
          <w:lang w:val="fr-FR"/>
        </w:rPr>
        <w:drawing>
          <wp:inline distT="114300" distB="114300" distL="114300" distR="114300" wp14:anchorId="25E0930C" wp14:editId="33760794">
            <wp:extent cx="6958013" cy="2303408"/>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958013" cy="2303408"/>
                    </a:xfrm>
                    <a:prstGeom prst="rect">
                      <a:avLst/>
                    </a:prstGeom>
                    <a:ln/>
                  </pic:spPr>
                </pic:pic>
              </a:graphicData>
            </a:graphic>
          </wp:inline>
        </w:drawing>
      </w:r>
    </w:p>
    <w:p w14:paraId="4EE9AE74" w14:textId="639ED239" w:rsidR="00895BEC" w:rsidRDefault="00FC69F7" w:rsidP="00C5690E">
      <w:pPr>
        <w:ind w:firstLine="0"/>
      </w:pPr>
      <w:r>
        <w:rPr>
          <w:rFonts w:ascii="Times New Roman" w:eastAsia="Times New Roman" w:hAnsi="Times New Roman" w:cs="Times New Roman"/>
          <w:b/>
        </w:rPr>
        <w:t>Figure S2.</w:t>
      </w:r>
      <w:r>
        <w:rPr>
          <w:rFonts w:ascii="Times New Roman" w:eastAsia="Times New Roman" w:hAnsi="Times New Roman" w:cs="Times New Roman"/>
        </w:rPr>
        <w:t xml:space="preserve"> The </w:t>
      </w:r>
      <w:r>
        <w:rPr>
          <w:rFonts w:ascii="Times New Roman" w:eastAsia="Times New Roman" w:hAnsi="Times New Roman" w:cs="Times New Roman"/>
          <w:i/>
        </w:rPr>
        <w:t xml:space="preserve">stressLevel </w:t>
      </w:r>
      <w:r>
        <w:rPr>
          <w:rFonts w:ascii="Times New Roman" w:eastAsia="Times New Roman" w:hAnsi="Times New Roman" w:cs="Times New Roman"/>
        </w:rPr>
        <w:t xml:space="preserve">Gamma distributions modulated by LAI for the medium drought stress regime (a) and the severe drought stress regime (b), as indicated by the respective headers. For both regimes, a higher LAI is associated with an increased probability of high </w:t>
      </w:r>
      <w:r>
        <w:rPr>
          <w:rFonts w:ascii="Times New Roman" w:eastAsia="Times New Roman" w:hAnsi="Times New Roman" w:cs="Times New Roman"/>
          <w:i/>
        </w:rPr>
        <w:t>stressLevel</w:t>
      </w:r>
      <w:r>
        <w:rPr>
          <w:rFonts w:ascii="Times New Roman" w:eastAsia="Times New Roman" w:hAnsi="Times New Roman" w:cs="Times New Roman"/>
        </w:rPr>
        <w:t xml:space="preserve">, and it also results in higher interannual variability in </w:t>
      </w:r>
      <w:r>
        <w:rPr>
          <w:rFonts w:ascii="Times New Roman" w:eastAsia="Times New Roman" w:hAnsi="Times New Roman" w:cs="Times New Roman"/>
          <w:i/>
        </w:rPr>
        <w:t>stressLevel</w:t>
      </w:r>
      <w:r>
        <w:rPr>
          <w:rFonts w:ascii="Times New Roman" w:eastAsia="Times New Roman" w:hAnsi="Times New Roman" w:cs="Times New Roman"/>
        </w:rPr>
        <w:t xml:space="preserve">. Additionally, as LAI increases, the </w:t>
      </w:r>
      <w:r>
        <w:rPr>
          <w:rFonts w:ascii="Times New Roman" w:eastAsia="Times New Roman" w:hAnsi="Times New Roman" w:cs="Times New Roman"/>
          <w:i/>
        </w:rPr>
        <w:t>stressLevel</w:t>
      </w:r>
      <w:r>
        <w:rPr>
          <w:rFonts w:ascii="Times New Roman" w:eastAsia="Times New Roman" w:hAnsi="Times New Roman" w:cs="Times New Roman"/>
        </w:rPr>
        <w:t xml:space="preserve"> Gamma distribution becomes less responsive to changes in LAI.</w:t>
      </w:r>
    </w:p>
    <w:sectPr w:rsidR="00895BEC" w:rsidSect="008535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altName w:val="Malgun Gothic Semilight"/>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F2"/>
    <w:rsid w:val="000C6BE1"/>
    <w:rsid w:val="002978A8"/>
    <w:rsid w:val="004C738B"/>
    <w:rsid w:val="008535A0"/>
    <w:rsid w:val="00895BEC"/>
    <w:rsid w:val="00C5690E"/>
    <w:rsid w:val="00D541F2"/>
    <w:rsid w:val="00D84F6B"/>
    <w:rsid w:val="00FC69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98E6"/>
  <w15:chartTrackingRefBased/>
  <w15:docId w15:val="{C7AE9114-FF98-4460-B39C-A03BAA4E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F7"/>
    <w:pPr>
      <w:spacing w:after="200" w:line="360" w:lineRule="auto"/>
      <w:ind w:firstLine="720"/>
      <w:jc w:val="both"/>
    </w:pPr>
    <w:rPr>
      <w:rFonts w:ascii="Calibri" w:eastAsia="Calibri" w:hAnsi="Calibri" w:cs="Calibri"/>
      <w:lang w:val="en-GB" w:eastAsia="fr-FR"/>
    </w:rPr>
  </w:style>
  <w:style w:type="paragraph" w:styleId="Titre1">
    <w:name w:val="heading 1"/>
    <w:basedOn w:val="Normal"/>
    <w:next w:val="Normal"/>
    <w:link w:val="Titre1Car"/>
    <w:uiPriority w:val="9"/>
    <w:qFormat/>
    <w:rsid w:val="00FC69F7"/>
    <w:pPr>
      <w:keepNext/>
      <w:keepLines/>
      <w:spacing w:after="160"/>
      <w:ind w:left="720"/>
      <w:jc w:val="left"/>
      <w:outlineLvl w:val="0"/>
    </w:pPr>
    <w:rPr>
      <w:color w:val="50505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69F7"/>
    <w:rPr>
      <w:rFonts w:ascii="Calibri" w:eastAsia="Calibri" w:hAnsi="Calibri" w:cs="Calibri"/>
      <w:color w:val="505050"/>
      <w:sz w:val="36"/>
      <w:szCs w:val="36"/>
      <w:lang w:val="en-GB" w:eastAsia="fr-FR"/>
    </w:rPr>
  </w:style>
  <w:style w:type="paragraph" w:styleId="Sous-titre">
    <w:name w:val="Subtitle"/>
    <w:basedOn w:val="Normal"/>
    <w:next w:val="Normal"/>
    <w:link w:val="Sous-titreCar"/>
    <w:uiPriority w:val="11"/>
    <w:qFormat/>
    <w:rsid w:val="00FC69F7"/>
    <w:pPr>
      <w:keepNext/>
      <w:keepLines/>
      <w:spacing w:after="160"/>
    </w:pPr>
  </w:style>
  <w:style w:type="character" w:customStyle="1" w:styleId="Sous-titreCar">
    <w:name w:val="Sous-titre Car"/>
    <w:basedOn w:val="Policepardfaut"/>
    <w:link w:val="Sous-titre"/>
    <w:uiPriority w:val="11"/>
    <w:rsid w:val="00FC69F7"/>
    <w:rPr>
      <w:rFonts w:ascii="Calibri" w:eastAsia="Calibri" w:hAnsi="Calibri" w:cs="Calibri"/>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3308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Fririon</dc:creator>
  <cp:keywords/>
  <dc:description/>
  <cp:lastModifiedBy>Francois Lefevre (PACA)</cp:lastModifiedBy>
  <cp:revision>2</cp:revision>
  <dcterms:created xsi:type="dcterms:W3CDTF">2024-12-15T17:56:00Z</dcterms:created>
  <dcterms:modified xsi:type="dcterms:W3CDTF">2024-12-15T17:56:00Z</dcterms:modified>
</cp:coreProperties>
</file>